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CD" w:rsidRPr="005C54F8" w:rsidRDefault="002D34D6">
      <w:pPr>
        <w:rPr>
          <w:b/>
        </w:rPr>
      </w:pPr>
      <w:r w:rsidRPr="005C54F8">
        <w:rPr>
          <w:b/>
        </w:rPr>
        <w:t xml:space="preserve">St. </w:t>
      </w:r>
      <w:r w:rsidR="00A845F6" w:rsidRPr="005C54F8">
        <w:rPr>
          <w:b/>
        </w:rPr>
        <w:t>Margaret Mary’s RC</w:t>
      </w:r>
      <w:r w:rsidRPr="005C54F8">
        <w:rPr>
          <w:b/>
        </w:rPr>
        <w:t xml:space="preserve"> Primary School</w:t>
      </w:r>
      <w:r w:rsidR="005C54F8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="005C54F8" w:rsidRPr="00381190">
        <w:rPr>
          <w:noProof/>
          <w:lang w:eastAsia="en-GB"/>
        </w:rPr>
        <w:drawing>
          <wp:inline distT="0" distB="0" distL="0" distR="0" wp14:anchorId="387309AB" wp14:editId="3046C0FC">
            <wp:extent cx="952500" cy="1009650"/>
            <wp:effectExtent l="0" t="0" r="0" b="0"/>
            <wp:docPr id="1" name="Picture 1" descr="St Margaret Mar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rgaret Mary'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4F8">
        <w:rPr>
          <w:b/>
        </w:rPr>
        <w:t xml:space="preserve"> </w:t>
      </w:r>
    </w:p>
    <w:p w:rsidR="002D34D6" w:rsidRPr="005C54F8" w:rsidRDefault="009D65BF">
      <w:pPr>
        <w:rPr>
          <w:b/>
        </w:rPr>
      </w:pPr>
      <w:r w:rsidRPr="005C54F8">
        <w:rPr>
          <w:b/>
        </w:rPr>
        <w:t>Pupil Premium Strategy 2017-2018</w:t>
      </w:r>
    </w:p>
    <w:p w:rsidR="002D34D6" w:rsidRPr="007C2B22" w:rsidRDefault="002D34D6">
      <w:pPr>
        <w:rPr>
          <w:b/>
          <w:sz w:val="2"/>
          <w:u w:val="singl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31"/>
        <w:gridCol w:w="1276"/>
      </w:tblGrid>
      <w:tr w:rsidR="005A581E" w:rsidTr="002D34D6">
        <w:tc>
          <w:tcPr>
            <w:tcW w:w="3431" w:type="dxa"/>
            <w:shd w:val="clear" w:color="auto" w:fill="B8CCE4" w:themeFill="accent1" w:themeFillTint="66"/>
          </w:tcPr>
          <w:p w:rsidR="005A581E" w:rsidRDefault="005A581E">
            <w:r>
              <w:t>Number of pupils on roll</w:t>
            </w:r>
          </w:p>
        </w:tc>
        <w:tc>
          <w:tcPr>
            <w:tcW w:w="1276" w:type="dxa"/>
          </w:tcPr>
          <w:p w:rsidR="005A581E" w:rsidRDefault="00A845F6">
            <w:r>
              <w:t>3</w:t>
            </w:r>
            <w:r w:rsidR="00CD6011">
              <w:t>60</w:t>
            </w:r>
          </w:p>
          <w:p w:rsidR="00E66EA0" w:rsidRDefault="009D65BF">
            <w:r>
              <w:t>Oct 2017</w:t>
            </w:r>
          </w:p>
        </w:tc>
      </w:tr>
      <w:tr w:rsidR="002D34D6" w:rsidTr="002D34D6">
        <w:tc>
          <w:tcPr>
            <w:tcW w:w="3431" w:type="dxa"/>
            <w:shd w:val="clear" w:color="auto" w:fill="B8CCE4" w:themeFill="accent1" w:themeFillTint="66"/>
          </w:tcPr>
          <w:p w:rsidR="002D34D6" w:rsidRDefault="002D34D6">
            <w:r>
              <w:t>Number of pupils eligible</w:t>
            </w:r>
          </w:p>
        </w:tc>
        <w:tc>
          <w:tcPr>
            <w:tcW w:w="1276" w:type="dxa"/>
          </w:tcPr>
          <w:p w:rsidR="002D34D6" w:rsidRDefault="005C54F8" w:rsidP="005C54F8">
            <w:r>
              <w:t>80</w:t>
            </w:r>
          </w:p>
        </w:tc>
      </w:tr>
      <w:tr w:rsidR="002D34D6" w:rsidTr="002D34D6">
        <w:tc>
          <w:tcPr>
            <w:tcW w:w="3431" w:type="dxa"/>
            <w:shd w:val="clear" w:color="auto" w:fill="B8CCE4" w:themeFill="accent1" w:themeFillTint="66"/>
          </w:tcPr>
          <w:p w:rsidR="002D34D6" w:rsidRDefault="002D34D6">
            <w:r>
              <w:t xml:space="preserve">% of pupils eligible </w:t>
            </w:r>
          </w:p>
        </w:tc>
        <w:tc>
          <w:tcPr>
            <w:tcW w:w="1276" w:type="dxa"/>
          </w:tcPr>
          <w:p w:rsidR="002D34D6" w:rsidRDefault="0004061D">
            <w:r>
              <w:t>22%</w:t>
            </w:r>
          </w:p>
        </w:tc>
      </w:tr>
      <w:tr w:rsidR="002D34D6" w:rsidTr="002D34D6">
        <w:tc>
          <w:tcPr>
            <w:tcW w:w="3431" w:type="dxa"/>
            <w:shd w:val="clear" w:color="auto" w:fill="B8CCE4" w:themeFill="accent1" w:themeFillTint="66"/>
          </w:tcPr>
          <w:p w:rsidR="002D34D6" w:rsidRDefault="002D34D6">
            <w:r>
              <w:t xml:space="preserve">Total PP received </w:t>
            </w:r>
          </w:p>
        </w:tc>
        <w:tc>
          <w:tcPr>
            <w:tcW w:w="1276" w:type="dxa"/>
          </w:tcPr>
          <w:p w:rsidR="002D34D6" w:rsidRDefault="009F6E2B" w:rsidP="009D65BF">
            <w:r>
              <w:t>£96,410.50</w:t>
            </w:r>
          </w:p>
        </w:tc>
      </w:tr>
    </w:tbl>
    <w:p w:rsidR="002D34D6" w:rsidRPr="00E66EA0" w:rsidRDefault="002D34D6" w:rsidP="00E66EA0">
      <w:pPr>
        <w:spacing w:line="240" w:lineRule="auto"/>
        <w:rPr>
          <w:b/>
          <w:sz w:val="16"/>
          <w:szCs w:val="16"/>
        </w:rPr>
      </w:pPr>
    </w:p>
    <w:p w:rsidR="002D34D6" w:rsidRDefault="002D34D6" w:rsidP="00E66EA0">
      <w:pPr>
        <w:spacing w:line="240" w:lineRule="auto"/>
        <w:rPr>
          <w:b/>
        </w:rPr>
      </w:pPr>
      <w:r w:rsidRPr="002D34D6">
        <w:rPr>
          <w:b/>
        </w:rPr>
        <w:t xml:space="preserve">Identified barriers to educational achievement </w:t>
      </w:r>
    </w:p>
    <w:p w:rsidR="002D34D6" w:rsidRDefault="002D34D6" w:rsidP="00E66EA0">
      <w:pPr>
        <w:spacing w:line="240" w:lineRule="auto"/>
      </w:pPr>
      <w:r>
        <w:t xml:space="preserve">St. </w:t>
      </w:r>
      <w:r w:rsidR="00A845F6">
        <w:t>Margaret Mary’s</w:t>
      </w:r>
      <w:r>
        <w:t xml:space="preserve"> RCPS has identified the following barriers for some of the pupils currently in receipt of Pupil Premium:</w:t>
      </w:r>
    </w:p>
    <w:p w:rsidR="002D34D6" w:rsidRDefault="002D34D6" w:rsidP="002D34D6">
      <w:pPr>
        <w:pStyle w:val="ListParagraph"/>
        <w:numPr>
          <w:ilvl w:val="0"/>
          <w:numId w:val="1"/>
        </w:numPr>
      </w:pPr>
      <w:r>
        <w:t>Access to language – especially from a lack of exposure to books</w:t>
      </w:r>
      <w:r w:rsidR="00CC75F0">
        <w:t xml:space="preserve"> </w:t>
      </w:r>
    </w:p>
    <w:p w:rsidR="002A55E4" w:rsidRDefault="002A55E4" w:rsidP="002D34D6">
      <w:pPr>
        <w:pStyle w:val="ListParagraph"/>
        <w:numPr>
          <w:ilvl w:val="0"/>
          <w:numId w:val="1"/>
        </w:numPr>
      </w:pPr>
      <w:r>
        <w:t>Access to extra -curr</w:t>
      </w:r>
      <w:r w:rsidR="00E66EA0">
        <w:t>icular activities – Enriching experiences such as educational visits, music tuition</w:t>
      </w:r>
    </w:p>
    <w:p w:rsidR="00E66EA0" w:rsidRDefault="002A55E4" w:rsidP="00E66EA0">
      <w:pPr>
        <w:pStyle w:val="ListParagraph"/>
        <w:numPr>
          <w:ilvl w:val="0"/>
          <w:numId w:val="1"/>
        </w:numPr>
      </w:pPr>
      <w:r>
        <w:t>A</w:t>
      </w:r>
      <w:r w:rsidR="005C2910">
        <w:t xml:space="preserve">ttendance </w:t>
      </w:r>
      <w:r w:rsidR="00E66EA0">
        <w:t>&amp; punctuality</w:t>
      </w:r>
    </w:p>
    <w:p w:rsidR="002A55E4" w:rsidRDefault="005C2910" w:rsidP="002D34D6">
      <w:pPr>
        <w:pStyle w:val="ListParagraph"/>
        <w:numPr>
          <w:ilvl w:val="0"/>
          <w:numId w:val="1"/>
        </w:numPr>
      </w:pPr>
      <w:r>
        <w:t>Communication – a lack of quality social communication with adults and peers</w:t>
      </w:r>
      <w:r w:rsidR="0073403F">
        <w:t xml:space="preserve"> </w:t>
      </w:r>
    </w:p>
    <w:p w:rsidR="005C2910" w:rsidRDefault="00E66EA0" w:rsidP="002D34D6">
      <w:pPr>
        <w:pStyle w:val="ListParagraph"/>
        <w:numPr>
          <w:ilvl w:val="0"/>
          <w:numId w:val="1"/>
        </w:numPr>
      </w:pPr>
      <w:r>
        <w:t>Emotional well-being -</w:t>
      </w:r>
      <w:r w:rsidR="005C2910">
        <w:t>pupils with specific social and emotional needs which affect their learning</w:t>
      </w:r>
      <w:r w:rsidR="0073403F">
        <w:t xml:space="preserve">  </w:t>
      </w:r>
    </w:p>
    <w:p w:rsidR="005C2910" w:rsidRDefault="00E66EA0" w:rsidP="002D34D6">
      <w:pPr>
        <w:pStyle w:val="ListParagraph"/>
        <w:numPr>
          <w:ilvl w:val="0"/>
          <w:numId w:val="1"/>
        </w:numPr>
      </w:pPr>
      <w:r>
        <w:t xml:space="preserve">Access to a sufficient, healthy </w:t>
      </w:r>
      <w:r w:rsidR="00CC75F0">
        <w:t>breakfast</w:t>
      </w:r>
      <w:r w:rsidR="0073403F">
        <w:t xml:space="preserve">  </w:t>
      </w:r>
      <w:r>
        <w:t>and mid-morning snack</w:t>
      </w:r>
    </w:p>
    <w:p w:rsidR="00CC75F0" w:rsidRPr="00E66EA0" w:rsidRDefault="00CC75F0" w:rsidP="00CC75F0">
      <w:pPr>
        <w:pStyle w:val="ListParagraph"/>
        <w:numPr>
          <w:ilvl w:val="0"/>
          <w:numId w:val="1"/>
        </w:numPr>
      </w:pPr>
      <w:r>
        <w:t>Support for learning at home</w:t>
      </w:r>
      <w:r w:rsidR="0073403F">
        <w:t xml:space="preserve">  </w:t>
      </w:r>
    </w:p>
    <w:p w:rsidR="00CC75F0" w:rsidRDefault="00CC75F0" w:rsidP="00CC75F0">
      <w:pPr>
        <w:rPr>
          <w:b/>
        </w:rPr>
      </w:pPr>
      <w:r w:rsidRPr="00CC75F0">
        <w:rPr>
          <w:b/>
        </w:rPr>
        <w:t>Rationale for expenditure</w:t>
      </w:r>
    </w:p>
    <w:p w:rsidR="003B10C3" w:rsidRDefault="00E36A84" w:rsidP="00CC75F0">
      <w:r>
        <w:t>As identified in the 2016-17</w:t>
      </w:r>
      <w:r w:rsidR="00DA02B5">
        <w:t xml:space="preserve"> impact report, accelerated progress is required for PP pupils in both Key Stage 1 and 2 – Years 2, 5 &amp; 6 specifically, with a focus on both low and high attaining PP pupils.  </w:t>
      </w:r>
      <w:r w:rsidR="0095795D">
        <w:t>Addi</w:t>
      </w:r>
      <w:r w:rsidR="00E21630">
        <w:t xml:space="preserve">tional TA hours have been allocated to provide further support to PP children across the age phases </w:t>
      </w:r>
      <w:r w:rsidR="007C2B22">
        <w:t>in</w:t>
      </w:r>
      <w:r w:rsidR="003B10C3">
        <w:t xml:space="preserve"> both classes &amp; outside of conventional school hours, including Breakfast Booster Clubs &amp; </w:t>
      </w:r>
      <w:r w:rsidR="007C2B22">
        <w:t>Homework</w:t>
      </w:r>
      <w:r w:rsidR="003B10C3">
        <w:t>/Revision C</w:t>
      </w:r>
      <w:r w:rsidR="007C2B22">
        <w:t>lubs</w:t>
      </w:r>
      <w:r w:rsidR="003B10C3">
        <w:t>.</w:t>
      </w:r>
    </w:p>
    <w:p w:rsidR="00CC75F0" w:rsidRDefault="003B10C3" w:rsidP="00CC75F0">
      <w:r>
        <w:t>A particular focus also includes</w:t>
      </w:r>
      <w:r w:rsidR="007C2B22">
        <w:t xml:space="preserve"> in-class support for </w:t>
      </w:r>
      <w:r>
        <w:t>PP</w:t>
      </w:r>
      <w:r w:rsidR="007C2B22">
        <w:t xml:space="preserve"> children with specific learning needs.  </w:t>
      </w:r>
      <w:r>
        <w:t>The funding also allows the school to</w:t>
      </w:r>
      <w:r w:rsidR="007C2B22">
        <w:t xml:space="preserve"> afford to pay for </w:t>
      </w:r>
      <w:r>
        <w:t>educational visits</w:t>
      </w:r>
      <w:r w:rsidR="00DD1C4C">
        <w:t xml:space="preserve">, </w:t>
      </w:r>
      <w:r>
        <w:t>Outdoor R</w:t>
      </w:r>
      <w:r w:rsidR="00DD1C4C">
        <w:t>esidential trips</w:t>
      </w:r>
      <w:r>
        <w:t xml:space="preserve">, after-school enrichment clubs, </w:t>
      </w:r>
      <w:proofErr w:type="spellStart"/>
      <w:r>
        <w:t>MfL</w:t>
      </w:r>
      <w:proofErr w:type="spellEnd"/>
      <w:r w:rsidR="00DD1C4C">
        <w:t xml:space="preserve"> and music tuition</w:t>
      </w:r>
      <w:r>
        <w:t>. In doing so we are able to provide wider learning opportunities, life experiences</w:t>
      </w:r>
      <w:r w:rsidR="00DD1C4C">
        <w:t xml:space="preserve"> and</w:t>
      </w:r>
      <w:r>
        <w:t xml:space="preserve"> enrich the</w:t>
      </w:r>
      <w:r w:rsidR="00DD1C4C">
        <w:t xml:space="preserve"> lives of these children,</w:t>
      </w:r>
      <w:r>
        <w:t xml:space="preserve"> as well as ensuring that their academic attainment &amp; progress is the very best that it can be &amp; in-line with their peers. This personalised &amp; focused curriculum</w:t>
      </w:r>
      <w:r w:rsidR="00DD1C4C">
        <w:t xml:space="preserve"> </w:t>
      </w:r>
      <w:r w:rsidR="004D3FE6">
        <w:t>build</w:t>
      </w:r>
      <w:r>
        <w:t>s</w:t>
      </w:r>
      <w:r w:rsidR="00DD1C4C">
        <w:t xml:space="preserve"> confidence</w:t>
      </w:r>
      <w:r>
        <w:t xml:space="preserve"> &amp; provides the best grounding possible for all. St Margaret Mary’s</w:t>
      </w:r>
      <w:r w:rsidR="00DD1C4C">
        <w:t xml:space="preserve"> has allocated funding to pay for these additional expenses </w:t>
      </w:r>
      <w:r w:rsidR="00DD1C4C">
        <w:lastRenderedPageBreak/>
        <w:t xml:space="preserve">throughout the academic year. </w:t>
      </w:r>
      <w:r>
        <w:t>We are also aware of the high importance of a</w:t>
      </w:r>
      <w:r w:rsidR="006E1862">
        <w:t>ttendance</w:t>
      </w:r>
      <w:r>
        <w:t xml:space="preserve"> &amp; how this is crucial to ensuring pupils are able to achieve. From this </w:t>
      </w:r>
      <w:proofErr w:type="gramStart"/>
      <w:r>
        <w:t xml:space="preserve">we </w:t>
      </w:r>
      <w:r w:rsidR="006E1862">
        <w:t xml:space="preserve"> –</w:t>
      </w:r>
      <w:proofErr w:type="gramEnd"/>
      <w:r w:rsidR="006E1862">
        <w:t xml:space="preserve"> subsidis</w:t>
      </w:r>
      <w:r>
        <w:t>e amongst other things a breakfast for PP children</w:t>
      </w:r>
      <w:r w:rsidR="004773B1">
        <w:t>,</w:t>
      </w:r>
      <w:r w:rsidR="006E1862">
        <w:t xml:space="preserve"> as well as paying for additional catering staff</w:t>
      </w:r>
      <w:r w:rsidR="009A10C9">
        <w:t xml:space="preserve"> to support this</w:t>
      </w:r>
      <w:r>
        <w:t xml:space="preserve">. This has been found to have a real impact </w:t>
      </w:r>
      <w:r w:rsidR="006E1862">
        <w:t>upon improving attendance</w:t>
      </w:r>
      <w:r>
        <w:t xml:space="preserve">&amp; allowing us to meet our targets, as well as providing </w:t>
      </w:r>
      <w:r w:rsidR="009A10C9">
        <w:t>pastoral support</w:t>
      </w:r>
      <w:r>
        <w:t xml:space="preserve">. In using PPG funding to support our PP pupils &amp; families we are making a </w:t>
      </w:r>
      <w:r w:rsidR="009A10C9">
        <w:t xml:space="preserve">significant impact on the social and emotional wellbeing </w:t>
      </w:r>
      <w:r>
        <w:t>these families &amp; will continue to maintain this</w:t>
      </w:r>
      <w:r w:rsidR="009A10C9">
        <w:t xml:space="preserve"> in</w:t>
      </w:r>
      <w:r>
        <w:t xml:space="preserve"> 2017-2018</w:t>
      </w:r>
      <w:r w:rsidR="009A10C9">
        <w:t>.  Educational Psychologist</w:t>
      </w:r>
      <w:r>
        <w:t xml:space="preserve"> &amp; Speech &amp; </w:t>
      </w:r>
      <w:proofErr w:type="spellStart"/>
      <w:r>
        <w:t>Langauge</w:t>
      </w:r>
      <w:proofErr w:type="spellEnd"/>
      <w:r>
        <w:t xml:space="preserve"> Therapy </w:t>
      </w:r>
      <w:r w:rsidR="00D55D13">
        <w:t xml:space="preserve">sessions </w:t>
      </w:r>
      <w:r w:rsidR="009A10C9">
        <w:t>for PP SEND pupils</w:t>
      </w:r>
      <w:r w:rsidR="004773B1">
        <w:t xml:space="preserve"> has also been </w:t>
      </w:r>
      <w:r>
        <w:t>identified &amp;</w:t>
      </w:r>
      <w:r w:rsidR="005C54F8">
        <w:t xml:space="preserve"> allocated for the coming year,</w:t>
      </w:r>
      <w:r w:rsidR="004773B1">
        <w:t xml:space="preserve"> </w:t>
      </w:r>
      <w:r w:rsidR="009A10C9">
        <w:t xml:space="preserve">to support the school </w:t>
      </w:r>
      <w:r w:rsidR="004773B1">
        <w:t xml:space="preserve">in </w:t>
      </w:r>
      <w:r w:rsidR="00C962B9">
        <w:t>ensuring</w:t>
      </w:r>
      <w:r w:rsidR="00B007AB">
        <w:t xml:space="preserve"> that these children are receiving appropriate funding and support. </w:t>
      </w:r>
      <w:r w:rsidR="009A10C9"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25"/>
        <w:gridCol w:w="5539"/>
        <w:gridCol w:w="5386"/>
      </w:tblGrid>
      <w:tr w:rsidR="00A325CD" w:rsidRPr="00A325CD" w:rsidTr="00A325CD">
        <w:tc>
          <w:tcPr>
            <w:tcW w:w="3925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>Area of spend</w:t>
            </w:r>
          </w:p>
        </w:tc>
        <w:tc>
          <w:tcPr>
            <w:tcW w:w="5539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>Focus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>Total allocation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Better Reading Recovery TA</w:t>
            </w:r>
          </w:p>
          <w:p w:rsidR="00A325CD" w:rsidRPr="00A325CD" w:rsidRDefault="00A325CD" w:rsidP="00A325CD">
            <w:r w:rsidRPr="00A325CD">
              <w:t>5 afternoons per week</w:t>
            </w:r>
          </w:p>
          <w:p w:rsidR="00A325CD" w:rsidRPr="00A325CD" w:rsidRDefault="00A325CD" w:rsidP="00A325CD">
            <w:r w:rsidRPr="00A325CD">
              <w:t>Resources needed to deliver programme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– Reading and communication</w:t>
            </w:r>
          </w:p>
        </w:tc>
        <w:tc>
          <w:tcPr>
            <w:tcW w:w="5386" w:type="dxa"/>
          </w:tcPr>
          <w:p w:rsidR="00A325CD" w:rsidRPr="00A325CD" w:rsidRDefault="00A325CD" w:rsidP="0004061D">
            <w:r w:rsidRPr="00A325CD">
              <w:t>£8, 500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Additional Teaching Support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- English and Maths</w:t>
            </w:r>
          </w:p>
        </w:tc>
        <w:tc>
          <w:tcPr>
            <w:tcW w:w="5386" w:type="dxa"/>
          </w:tcPr>
          <w:p w:rsidR="00A325CD" w:rsidRPr="00A325CD" w:rsidRDefault="00A325CD" w:rsidP="0004061D">
            <w:r w:rsidRPr="00A325CD">
              <w:t>£</w:t>
            </w:r>
            <w:r w:rsidR="0004061D">
              <w:t>2</w:t>
            </w:r>
            <w:r w:rsidR="005C54F8">
              <w:t>5</w:t>
            </w:r>
            <w:r w:rsidRPr="00A325CD">
              <w:t>,000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Additional  TA support in classes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pPr>
              <w:rPr>
                <w:b/>
              </w:rPr>
            </w:pPr>
            <w:r w:rsidRPr="00A325CD">
              <w:t>Teaching and Learning - English and Maths</w:t>
            </w:r>
          </w:p>
        </w:tc>
        <w:tc>
          <w:tcPr>
            <w:tcW w:w="5386" w:type="dxa"/>
          </w:tcPr>
          <w:p w:rsidR="00A325CD" w:rsidRPr="00A325CD" w:rsidRDefault="00A325CD" w:rsidP="0004061D">
            <w:r w:rsidRPr="00A325CD">
              <w:t>£</w:t>
            </w:r>
            <w:r w:rsidR="0004061D">
              <w:t>4</w:t>
            </w:r>
            <w:r w:rsidR="005C54F8">
              <w:t>5</w:t>
            </w:r>
            <w:r w:rsidRPr="00A325CD">
              <w:t>, 000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Additional Specialist Teaching (MFL/Music)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&amp; Learning</w:t>
            </w:r>
          </w:p>
          <w:p w:rsidR="00A325CD" w:rsidRPr="00A325CD" w:rsidRDefault="00A325CD" w:rsidP="00A325CD">
            <w:pPr>
              <w:rPr>
                <w:b/>
              </w:rPr>
            </w:pPr>
            <w:r w:rsidRPr="00A325CD">
              <w:t>Personal Development, Behaviour &amp; Welfare</w:t>
            </w:r>
          </w:p>
        </w:tc>
        <w:tc>
          <w:tcPr>
            <w:tcW w:w="5386" w:type="dxa"/>
          </w:tcPr>
          <w:p w:rsidR="00A325CD" w:rsidRPr="00A325CD" w:rsidRDefault="00A325CD" w:rsidP="00A325CD">
            <w:r w:rsidRPr="00A325CD">
              <w:t>£7,000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 xml:space="preserve">English, Maths &amp; EYFS Consultant  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– reading, writing &amp; mathematics</w:t>
            </w:r>
          </w:p>
        </w:tc>
        <w:tc>
          <w:tcPr>
            <w:tcW w:w="5386" w:type="dxa"/>
          </w:tcPr>
          <w:p w:rsidR="00A325CD" w:rsidRPr="00A325CD" w:rsidRDefault="00A325CD" w:rsidP="00FE4564">
            <w:r w:rsidRPr="00A325CD">
              <w:t>£</w:t>
            </w:r>
            <w:r w:rsidR="00FE4564">
              <w:t>7</w:t>
            </w:r>
            <w:r w:rsidR="005C54F8">
              <w:t>,5</w:t>
            </w:r>
            <w:r w:rsidRPr="00A325CD">
              <w:t>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Additional Tuition (</w:t>
            </w:r>
            <w:proofErr w:type="spellStart"/>
            <w:r w:rsidRPr="00A325CD">
              <w:t>Eng</w:t>
            </w:r>
            <w:proofErr w:type="spellEnd"/>
            <w:r w:rsidRPr="00A325CD">
              <w:t xml:space="preserve"> &amp; Maths)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- English and Maths</w:t>
            </w:r>
          </w:p>
        </w:tc>
        <w:tc>
          <w:tcPr>
            <w:tcW w:w="5386" w:type="dxa"/>
          </w:tcPr>
          <w:p w:rsidR="00A325CD" w:rsidRPr="00A325CD" w:rsidRDefault="00A325CD" w:rsidP="00A325CD">
            <w:r w:rsidRPr="00A325CD">
              <w:t>£5,000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Subsidise breakfast clubs &amp; mid-morning snack</w:t>
            </w:r>
          </w:p>
          <w:p w:rsidR="00A325CD" w:rsidRPr="00A325CD" w:rsidRDefault="00A325CD" w:rsidP="00A325CD">
            <w:r w:rsidRPr="00A325CD">
              <w:t>Provide additional staff hours to prepare, serve &amp; supervise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Personal Development, Behaviour and Welfare</w:t>
            </w:r>
          </w:p>
        </w:tc>
        <w:tc>
          <w:tcPr>
            <w:tcW w:w="5386" w:type="dxa"/>
          </w:tcPr>
          <w:p w:rsidR="00A325CD" w:rsidRPr="00A325CD" w:rsidRDefault="00A325CD" w:rsidP="0004061D">
            <w:r w:rsidRPr="00A325CD">
              <w:t>£</w:t>
            </w:r>
            <w:r w:rsidR="0004061D">
              <w:t>25</w:t>
            </w:r>
            <w:r w:rsidRPr="00A325CD">
              <w:t>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Access to After-School Clubs for all PP</w:t>
            </w:r>
          </w:p>
          <w:p w:rsidR="00A325CD" w:rsidRPr="00A325CD" w:rsidRDefault="00A325CD" w:rsidP="00A325CD">
            <w:r w:rsidRPr="00A325CD">
              <w:t>3 evenings per week</w:t>
            </w:r>
          </w:p>
          <w:p w:rsidR="00A325CD" w:rsidRPr="00A325CD" w:rsidRDefault="00A325CD" w:rsidP="00A325CD">
            <w:r w:rsidRPr="00A325CD">
              <w:t>1 x teacher</w:t>
            </w:r>
          </w:p>
          <w:p w:rsidR="00A325CD" w:rsidRPr="00A325CD" w:rsidRDefault="00A325CD" w:rsidP="00A325CD">
            <w:r w:rsidRPr="00A325CD">
              <w:t>4 x TAs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- English and Maths</w:t>
            </w:r>
          </w:p>
          <w:p w:rsidR="00A325CD" w:rsidRPr="00A325CD" w:rsidRDefault="00A325CD" w:rsidP="00A325CD">
            <w:r w:rsidRPr="00A325CD">
              <w:t>Personal Development, Behaviour and Welfare</w:t>
            </w:r>
          </w:p>
        </w:tc>
        <w:tc>
          <w:tcPr>
            <w:tcW w:w="5386" w:type="dxa"/>
          </w:tcPr>
          <w:p w:rsidR="00A325CD" w:rsidRPr="00A325CD" w:rsidRDefault="00A325CD" w:rsidP="00A325CD">
            <w:r w:rsidRPr="00A325CD">
              <w:t>£4,500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Educational visits</w:t>
            </w:r>
          </w:p>
          <w:p w:rsidR="00A325CD" w:rsidRPr="00A325CD" w:rsidRDefault="00A325CD" w:rsidP="00A325CD">
            <w:r w:rsidRPr="00A325CD">
              <w:t>Y6 Residential Trips - Hinning House in the Lake District</w:t>
            </w:r>
          </w:p>
          <w:p w:rsidR="00A325CD" w:rsidRPr="00A325CD" w:rsidRDefault="00A325CD" w:rsidP="00A325CD">
            <w:r w:rsidRPr="00A325CD">
              <w:t>Subsidise Educational Visits &amp; Enrichment across all year groups</w:t>
            </w:r>
          </w:p>
          <w:p w:rsidR="00A325CD" w:rsidRPr="00A325CD" w:rsidRDefault="00A325CD" w:rsidP="00A325CD"/>
        </w:tc>
        <w:tc>
          <w:tcPr>
            <w:tcW w:w="5539" w:type="dxa"/>
          </w:tcPr>
          <w:p w:rsidR="00A325CD" w:rsidRPr="00A325CD" w:rsidRDefault="00A325CD" w:rsidP="00A325CD">
            <w:r w:rsidRPr="00A325CD">
              <w:t>Personal Development, Behaviour and Welfare</w:t>
            </w:r>
          </w:p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– all subjects</w:t>
            </w:r>
          </w:p>
        </w:tc>
        <w:tc>
          <w:tcPr>
            <w:tcW w:w="5386" w:type="dxa"/>
          </w:tcPr>
          <w:p w:rsidR="00A325CD" w:rsidRPr="00A325CD" w:rsidRDefault="00A325CD" w:rsidP="0004061D">
            <w:r w:rsidRPr="00A325CD">
              <w:t>£</w:t>
            </w:r>
            <w:r w:rsidR="0004061D">
              <w:t>6</w:t>
            </w:r>
            <w:r w:rsidRPr="00A325CD">
              <w:t>,000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Breakfast club &amp; Booster Interventions</w:t>
            </w:r>
          </w:p>
          <w:p w:rsidR="00A325CD" w:rsidRPr="00A325CD" w:rsidRDefault="00A325CD" w:rsidP="00A325CD">
            <w:r w:rsidRPr="00A325CD">
              <w:t>5 mornings per week</w:t>
            </w:r>
          </w:p>
          <w:p w:rsidR="00A325CD" w:rsidRPr="00A325CD" w:rsidRDefault="00A325CD" w:rsidP="00A325CD">
            <w:r w:rsidRPr="00A325CD">
              <w:t xml:space="preserve">4 x TAs 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Personal Development, Behaviour and Welfare</w:t>
            </w:r>
          </w:p>
        </w:tc>
        <w:tc>
          <w:tcPr>
            <w:tcW w:w="5386" w:type="dxa"/>
          </w:tcPr>
          <w:p w:rsidR="00A325CD" w:rsidRPr="00A325CD" w:rsidRDefault="00A325CD" w:rsidP="00A325CD">
            <w:r w:rsidRPr="00A325CD">
              <w:t>£3, 420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lastRenderedPageBreak/>
              <w:t>SLA for Educational Psychologist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Personal Development, Behaviour and Welfare</w:t>
            </w:r>
          </w:p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– all subjects</w:t>
            </w:r>
          </w:p>
        </w:tc>
        <w:tc>
          <w:tcPr>
            <w:tcW w:w="5386" w:type="dxa"/>
          </w:tcPr>
          <w:p w:rsidR="00A325CD" w:rsidRPr="00A325CD" w:rsidRDefault="00A325CD" w:rsidP="00A325CD">
            <w:r w:rsidRPr="00A325CD">
              <w:t>£5,000</w:t>
            </w:r>
          </w:p>
        </w:tc>
      </w:tr>
      <w:tr w:rsidR="00A325CD" w:rsidRPr="00A325CD" w:rsidTr="00A325CD">
        <w:tc>
          <w:tcPr>
            <w:tcW w:w="3925" w:type="dxa"/>
          </w:tcPr>
          <w:p w:rsidR="00A325CD" w:rsidRPr="00A325CD" w:rsidRDefault="00A325CD" w:rsidP="00A325CD">
            <w:r w:rsidRPr="00A325CD">
              <w:t>1 x Speech &amp; Language Therapist to provide 3 afternoons a week targeted interventions</w:t>
            </w:r>
          </w:p>
        </w:tc>
        <w:tc>
          <w:tcPr>
            <w:tcW w:w="5539" w:type="dxa"/>
          </w:tcPr>
          <w:p w:rsidR="00A325CD" w:rsidRPr="00A325CD" w:rsidRDefault="00A325CD" w:rsidP="00A325CD">
            <w:r w:rsidRPr="00A325CD">
              <w:t>Personal Development, Behaviour and Welfare</w:t>
            </w:r>
          </w:p>
          <w:p w:rsidR="00A325CD" w:rsidRPr="00A325CD" w:rsidRDefault="00A325CD" w:rsidP="00A325CD">
            <w:r w:rsidRPr="00A325CD">
              <w:t>Outcomes of pupils</w:t>
            </w:r>
          </w:p>
          <w:p w:rsidR="00A325CD" w:rsidRPr="00A325CD" w:rsidRDefault="00A325CD" w:rsidP="00A325CD">
            <w:r w:rsidRPr="00A325CD">
              <w:t>Teaching and Learning – English &amp; Mathematics</w:t>
            </w:r>
          </w:p>
        </w:tc>
        <w:tc>
          <w:tcPr>
            <w:tcW w:w="5386" w:type="dxa"/>
          </w:tcPr>
          <w:p w:rsidR="00A325CD" w:rsidRPr="00A325CD" w:rsidRDefault="00A325CD" w:rsidP="00A325CD">
            <w:r w:rsidRPr="00A325CD">
              <w:t>£4,000</w:t>
            </w:r>
          </w:p>
          <w:p w:rsidR="00A325CD" w:rsidRPr="00A325CD" w:rsidRDefault="00A325CD" w:rsidP="00A325CD"/>
          <w:p w:rsidR="00A325CD" w:rsidRPr="00A325CD" w:rsidRDefault="00A325CD" w:rsidP="00A325CD"/>
        </w:tc>
      </w:tr>
      <w:tr w:rsidR="00A325CD" w:rsidRPr="00A325CD" w:rsidTr="00A325CD">
        <w:tc>
          <w:tcPr>
            <w:tcW w:w="3925" w:type="dxa"/>
            <w:vMerge w:val="restart"/>
            <w:tcBorders>
              <w:left w:val="nil"/>
            </w:tcBorders>
          </w:tcPr>
          <w:p w:rsidR="00A325CD" w:rsidRPr="00A325CD" w:rsidRDefault="00A325CD" w:rsidP="00A325CD"/>
        </w:tc>
        <w:tc>
          <w:tcPr>
            <w:tcW w:w="5539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>Total PPG received</w:t>
            </w:r>
          </w:p>
        </w:tc>
        <w:tc>
          <w:tcPr>
            <w:tcW w:w="5386" w:type="dxa"/>
          </w:tcPr>
          <w:p w:rsidR="00A325CD" w:rsidRPr="00A325CD" w:rsidRDefault="009F6E2B" w:rsidP="00A325CD">
            <w:r>
              <w:t>£96,410.50</w:t>
            </w:r>
          </w:p>
        </w:tc>
      </w:tr>
      <w:tr w:rsidR="00A325CD" w:rsidRPr="00A325CD" w:rsidTr="00A325CD">
        <w:tc>
          <w:tcPr>
            <w:tcW w:w="3925" w:type="dxa"/>
            <w:vMerge/>
            <w:tcBorders>
              <w:left w:val="nil"/>
            </w:tcBorders>
          </w:tcPr>
          <w:p w:rsidR="00A325CD" w:rsidRPr="00A325CD" w:rsidRDefault="00A325CD" w:rsidP="00A325CD"/>
        </w:tc>
        <w:tc>
          <w:tcPr>
            <w:tcW w:w="5539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>Total expenditure</w:t>
            </w:r>
          </w:p>
        </w:tc>
        <w:tc>
          <w:tcPr>
            <w:tcW w:w="5386" w:type="dxa"/>
          </w:tcPr>
          <w:p w:rsidR="00A325CD" w:rsidRPr="00A325CD" w:rsidRDefault="00FE4564" w:rsidP="00A325CD">
            <w:r>
              <w:t>£123,420</w:t>
            </w:r>
          </w:p>
        </w:tc>
      </w:tr>
      <w:tr w:rsidR="00A325CD" w:rsidRPr="00A325CD" w:rsidTr="00A325CD">
        <w:tc>
          <w:tcPr>
            <w:tcW w:w="3925" w:type="dxa"/>
            <w:vMerge/>
            <w:tcBorders>
              <w:left w:val="nil"/>
              <w:bottom w:val="nil"/>
            </w:tcBorders>
          </w:tcPr>
          <w:p w:rsidR="00A325CD" w:rsidRPr="00A325CD" w:rsidRDefault="00A325CD" w:rsidP="00A325CD"/>
        </w:tc>
        <w:tc>
          <w:tcPr>
            <w:tcW w:w="5539" w:type="dxa"/>
            <w:shd w:val="clear" w:color="auto" w:fill="B8CCE4" w:themeFill="accent1" w:themeFillTint="66"/>
          </w:tcPr>
          <w:p w:rsidR="00A325CD" w:rsidRPr="00A325CD" w:rsidRDefault="00A325CD" w:rsidP="00A325CD">
            <w:pPr>
              <w:rPr>
                <w:b/>
              </w:rPr>
            </w:pPr>
            <w:r w:rsidRPr="00A325CD">
              <w:rPr>
                <w:b/>
              </w:rPr>
              <w:t xml:space="preserve">PPG remaining </w:t>
            </w:r>
          </w:p>
        </w:tc>
        <w:tc>
          <w:tcPr>
            <w:tcW w:w="5386" w:type="dxa"/>
          </w:tcPr>
          <w:p w:rsidR="00A325CD" w:rsidRPr="00A325CD" w:rsidRDefault="00FE4564" w:rsidP="00A325CD">
            <w:r>
              <w:t>-£27,009.50</w:t>
            </w:r>
            <w:bookmarkStart w:id="0" w:name="_GoBack"/>
            <w:bookmarkEnd w:id="0"/>
          </w:p>
        </w:tc>
      </w:tr>
    </w:tbl>
    <w:p w:rsidR="00FD3000" w:rsidRDefault="00FD3000" w:rsidP="00CC75F0">
      <w:pPr>
        <w:rPr>
          <w:b/>
        </w:rPr>
      </w:pPr>
    </w:p>
    <w:p w:rsidR="00FD3000" w:rsidRDefault="00FD3000" w:rsidP="00CC75F0"/>
    <w:tbl>
      <w:tblPr>
        <w:tblStyle w:val="TableGrid2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7088"/>
        <w:gridCol w:w="5812"/>
      </w:tblGrid>
      <w:tr w:rsidR="00A325CD" w:rsidRPr="00C8656C" w:rsidTr="00A325CD">
        <w:tc>
          <w:tcPr>
            <w:tcW w:w="2376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7088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5812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A325CD">
        <w:tc>
          <w:tcPr>
            <w:tcW w:w="2376" w:type="dxa"/>
          </w:tcPr>
          <w:p w:rsidR="00A325CD" w:rsidRDefault="00A325CD" w:rsidP="00A325CD">
            <w:r>
              <w:t>English, Maths &amp; EYFS Consultant  x10 days</w:t>
            </w:r>
          </w:p>
        </w:tc>
        <w:tc>
          <w:tcPr>
            <w:tcW w:w="7088" w:type="dxa"/>
          </w:tcPr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Improved attainment outcomes in Reading, writing &amp; maths for high and low attaining PP pupils in EYFS, Years 2, 5 &amp; 6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Improved engagement of Pupil Premium children with their work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Diminish the difference between Pupil Premium pupils and others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To provide a stimulating, engaging, text-rich curriculum which excited and engages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Staff Training &amp; CPD for staff to improve the teaching of reading &amp; writing to enrich the curriculum &amp; engage reluctant writers.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Use of Staff Training to extend higher attaining children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Prepare pupils for future learning in order to build confidence and establish higher lever starting points for the next academic year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We will maintain writing outcomes at Key Stage &amp; Key Stage 2 to be more in line with Reading and Maths</w:t>
            </w:r>
          </w:p>
          <w:p w:rsidR="00A325CD" w:rsidRPr="00C57579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We will aim to Increase the number of Greater Depth writers working through Key Stage 1 &amp; Key Stage 2</w:t>
            </w:r>
          </w:p>
          <w:p w:rsidR="00A325CD" w:rsidRPr="00D0247E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D0247E">
              <w:t xml:space="preserve">Pupils </w:t>
            </w:r>
            <w:r>
              <w:t xml:space="preserve">will </w:t>
            </w:r>
            <w:r w:rsidRPr="00D0247E">
              <w:t>feel equipped to</w:t>
            </w:r>
            <w:r>
              <w:t xml:space="preserve"> be able to approach greater depth </w:t>
            </w:r>
            <w:r w:rsidRPr="00D0247E">
              <w:t>level</w:t>
            </w:r>
            <w:r>
              <w:t>s of</w:t>
            </w:r>
            <w:r w:rsidRPr="00D0247E">
              <w:t xml:space="preserve"> work</w:t>
            </w:r>
            <w:r>
              <w:t xml:space="preserve"> across the curriculum</w:t>
            </w:r>
          </w:p>
          <w:p w:rsidR="00A325CD" w:rsidRPr="00D0247E" w:rsidRDefault="00A325CD" w:rsidP="00A325CD"/>
          <w:p w:rsidR="00A325CD" w:rsidRPr="00D0247E" w:rsidRDefault="00A325CD" w:rsidP="00A325CD"/>
          <w:p w:rsidR="00A325CD" w:rsidRPr="00D0247E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D0247E">
              <w:t>Provide writing opportunities in other subjects</w:t>
            </w:r>
          </w:p>
          <w:p w:rsidR="00A325CD" w:rsidRPr="00D0247E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D0247E">
              <w:t xml:space="preserve">Children to build and establish a bank of varied and ambitious vocabulary in their writing </w:t>
            </w:r>
          </w:p>
          <w:p w:rsidR="00A325CD" w:rsidRDefault="00A325CD" w:rsidP="00A325CD"/>
        </w:tc>
        <w:tc>
          <w:tcPr>
            <w:tcW w:w="5812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English, Mathematics &amp; EYFS Co-ordinators to carefully map-out the delivery of the curriculum alongside consultants &amp; staff &amp; monitor the impact and outcomes of pupils with HT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Carefully choose &amp; ensure that the reading texts are engaging, challenging, age appropriate &amp; current/exciting.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Improve &amp; enhance classroom libraries with exciting, engaging &amp; current texts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English Co-ordinator to provide Consultant with joint partnership &amp; school priorities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Mathematics Coordinator to work with Consultant as Teacher of Excellence &amp; liaise with Teaching School Alliance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SLT to meet with </w:t>
            </w:r>
            <w:proofErr w:type="spellStart"/>
            <w:r>
              <w:t>classteachers</w:t>
            </w:r>
            <w:proofErr w:type="spellEnd"/>
            <w:r>
              <w:t xml:space="preserve"> termly, alongside SEND Co at pupil progress meetings – discussion regarding individual pupils including those in receipt of PP and how booster sessions could improve outcomes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 SLT and class teachers to focus upon the needs of all pupils &amp; adjust teaching to cater for these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All staff to regularly review class groupings and liaise with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Data analysis at each milestone to identify pupils whose progress is causing concern and to review successes</w:t>
            </w:r>
          </w:p>
        </w:tc>
      </w:tr>
      <w:tr w:rsidR="00A325CD" w:rsidRPr="00C8656C" w:rsidTr="00A325CD">
        <w:tc>
          <w:tcPr>
            <w:tcW w:w="2376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708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A325CD">
        <w:tc>
          <w:tcPr>
            <w:tcW w:w="2376" w:type="dxa"/>
          </w:tcPr>
          <w:p w:rsidR="00A325CD" w:rsidRDefault="00A325CD" w:rsidP="00A325CD">
            <w:r>
              <w:lastRenderedPageBreak/>
              <w:t>Better Reading Recovery teacher</w:t>
            </w:r>
          </w:p>
          <w:p w:rsidR="00A325CD" w:rsidRDefault="00A325CD" w:rsidP="00A325CD">
            <w:r>
              <w:t>5 afternoons per week</w:t>
            </w:r>
          </w:p>
          <w:p w:rsidR="00A325CD" w:rsidRDefault="00A325CD" w:rsidP="00A325CD">
            <w:r>
              <w:t>Resources needed to deliver programme</w:t>
            </w:r>
          </w:p>
        </w:tc>
        <w:tc>
          <w:tcPr>
            <w:tcW w:w="7088" w:type="dxa"/>
          </w:tcPr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To accelerate progress &amp; diminish the difference between PP Pupils &amp; others in reading.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Increase pupil confidence in reading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Improve fluency of reading</w:t>
            </w:r>
          </w:p>
          <w:p w:rsidR="00A325CD" w:rsidRPr="00AF7D35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AF7D35">
              <w:rPr>
                <w:rFonts w:cs="Arial"/>
              </w:rPr>
              <w:t>Improve competency of retrieval &amp; reading skills.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C57579">
              <w:t>Pre-teaching in order for children to meet end of year expectations</w:t>
            </w:r>
          </w:p>
        </w:tc>
        <w:tc>
          <w:tcPr>
            <w:tcW w:w="5812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Targeted children to complete a term of intensive reading intervention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Assessments both prior to starting and also on completion to monitor progress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English Co-ordinator and class teacher to ensure that regular feedback is given and any necessary follow-up actions are put into place</w:t>
            </w:r>
          </w:p>
        </w:tc>
      </w:tr>
      <w:tr w:rsidR="00A325CD" w:rsidRPr="00C8656C" w:rsidTr="00A325CD">
        <w:tc>
          <w:tcPr>
            <w:tcW w:w="2376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708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A325CD">
        <w:tc>
          <w:tcPr>
            <w:tcW w:w="2376" w:type="dxa"/>
          </w:tcPr>
          <w:p w:rsidR="00A325CD" w:rsidRDefault="00A325CD" w:rsidP="00A325CD">
            <w:pPr>
              <w:ind w:left="360"/>
            </w:pPr>
            <w:r>
              <w:t>Additional  TA support in classes providing a range of support &amp; interventions</w:t>
            </w:r>
          </w:p>
        </w:tc>
        <w:tc>
          <w:tcPr>
            <w:tcW w:w="7088" w:type="dxa"/>
          </w:tcPr>
          <w:p w:rsidR="00A325CD" w:rsidRPr="00DA4198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 xml:space="preserve">Provide support within lessons for Pupil Premium Pupils to improve understanding of learning in core subjects of reading, writing &amp; mathematics. </w:t>
            </w:r>
          </w:p>
          <w:p w:rsidR="00A325CD" w:rsidRPr="00DA4198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Enable priority activities for pupils unable to complete reinforcement at home.</w:t>
            </w:r>
          </w:p>
          <w:p w:rsidR="00A325CD" w:rsidRPr="00DA4198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Provide consolidation of concepts in writing units, grammar, spelling, calculation strategies &amp; reading, with time for application of this.</w:t>
            </w:r>
          </w:p>
          <w:p w:rsidR="00A325CD" w:rsidRPr="00DA4198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Provide confidence &amp; boost self-esteem of pupils to support progress &amp; attainment.</w:t>
            </w:r>
          </w:p>
          <w:p w:rsidR="00A325CD" w:rsidRPr="00DA4198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DA4198">
              <w:rPr>
                <w:rFonts w:cs="Arial"/>
              </w:rPr>
              <w:t>Small group/1:1 Interventions planned to cater for individual needs of Pupil Premium Pupils, including reading, spelling, speech &amp; language, maths &amp; handwriting.</w:t>
            </w:r>
          </w:p>
          <w:p w:rsidR="00A325CD" w:rsidRPr="002C6225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  <w:rPr>
                <w:color w:val="00B050"/>
              </w:rPr>
            </w:pPr>
          </w:p>
          <w:p w:rsidR="00A325CD" w:rsidRPr="00DA4198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DA4198">
              <w:t xml:space="preserve">Provide pre-teaching opportunities to prepare pupils for lessons &amp; future learning in order to build confidence and give higher level starting points to learning. </w:t>
            </w:r>
          </w:p>
          <w:p w:rsidR="00A325CD" w:rsidRPr="00DA4198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DA4198">
              <w:t>Priority reading with TAs if pupils are unable to read at home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DA4198">
              <w:t>Pupils who are on SEN register and in receipt of PP have their individual targets reviewed regularly and aspirational targets are set for their progress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</w:p>
        </w:tc>
        <w:tc>
          <w:tcPr>
            <w:tcW w:w="5812" w:type="dxa"/>
          </w:tcPr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TA timetables carefully planned by SLT/</w:t>
            </w:r>
            <w:proofErr w:type="spellStart"/>
            <w:r w:rsidRPr="00AF7D35">
              <w:rPr>
                <w:rFonts w:cs="Arial"/>
              </w:rPr>
              <w:t>classteachers</w:t>
            </w:r>
            <w:proofErr w:type="spellEnd"/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Clear communication between staff to ensure targeted support (including SENCO &amp; SLT) within &amp; outside of lessons.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Clear communication outlining key learning needs &amp; high expectations.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 xml:space="preserve">Careful planning to make best use of TA interactions with PP </w:t>
            </w:r>
            <w:proofErr w:type="gramStart"/>
            <w:r w:rsidRPr="00AF7D35">
              <w:rPr>
                <w:rFonts w:cs="Arial"/>
              </w:rPr>
              <w:t>pupils</w:t>
            </w:r>
            <w:proofErr w:type="gramEnd"/>
            <w:r w:rsidRPr="00AF7D35">
              <w:rPr>
                <w:rFonts w:cs="Arial"/>
              </w:rPr>
              <w:t xml:space="preserve"> </w:t>
            </w:r>
            <w:proofErr w:type="spellStart"/>
            <w:r w:rsidRPr="00AF7D35">
              <w:rPr>
                <w:rFonts w:cs="Arial"/>
              </w:rPr>
              <w:t>incl</w:t>
            </w:r>
            <w:proofErr w:type="spellEnd"/>
            <w:r w:rsidRPr="00AF7D35">
              <w:rPr>
                <w:rFonts w:cs="Arial"/>
              </w:rPr>
              <w:t>; Breakfast Booster, morning work, registration &amp; afternoon interventions (Timetabling).</w:t>
            </w:r>
          </w:p>
          <w:p w:rsidR="00A325CD" w:rsidRPr="00AF7D35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AF7D35">
              <w:rPr>
                <w:rFonts w:cs="Arial"/>
              </w:rPr>
              <w:t xml:space="preserve">Close regular tracking of the progress that is made, passing-on key assessment information.  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>
              <w:t xml:space="preserve">SENCO monitors &amp; observes interventions, providing regular feedback regarding targets, strategies, next steps &amp; use of resources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>
              <w:t xml:space="preserve">Close communication between TAs, teachers and SLT to track pupils with concerning attendance and/or punctuality. </w:t>
            </w:r>
          </w:p>
        </w:tc>
      </w:tr>
      <w:tr w:rsidR="00A325CD" w:rsidRPr="00C8656C" w:rsidTr="00A325CD">
        <w:tc>
          <w:tcPr>
            <w:tcW w:w="2376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708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A325CD">
        <w:tc>
          <w:tcPr>
            <w:tcW w:w="2376" w:type="dxa"/>
          </w:tcPr>
          <w:p w:rsidR="00A325CD" w:rsidRDefault="00A325CD" w:rsidP="00A325CD">
            <w:r>
              <w:t>Additional Teaching Support</w:t>
            </w:r>
          </w:p>
        </w:tc>
        <w:tc>
          <w:tcPr>
            <w:tcW w:w="7088" w:type="dxa"/>
          </w:tcPr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  <w:b/>
              </w:rPr>
            </w:pPr>
            <w:r w:rsidRPr="00AF7D35">
              <w:rPr>
                <w:rFonts w:cs="Arial"/>
                <w:b/>
              </w:rPr>
              <w:t>Deployment of additional teaching support to provide targeted support for staff &amp; Pupil Premium Pupils.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  <w:b/>
              </w:rPr>
            </w:pPr>
            <w:r w:rsidRPr="00AF7D35">
              <w:rPr>
                <w:rFonts w:cs="Arial"/>
                <w:b/>
              </w:rPr>
              <w:t>Including small group sessions that ensure PP pupils are at least in-line with their peers at the end-of Early Years, Key Stage One &amp; Key Stage Two.</w:t>
            </w:r>
          </w:p>
          <w:p w:rsidR="00A325CD" w:rsidRPr="00AF7D35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AF7D35">
              <w:rPr>
                <w:rFonts w:cs="Arial"/>
                <w:b/>
              </w:rPr>
              <w:t>Targeted support &amp; planning of interventions that the difference is diminished between Pupil Premium pupils &amp; others.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</w:p>
          <w:p w:rsidR="00A325CD" w:rsidRPr="00DA4198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lastRenderedPageBreak/>
              <w:t>Provide consolidation of concepts in writing units, grammar, spelling, calculation strategies &amp; reading, with time for application of this.</w:t>
            </w:r>
          </w:p>
          <w:p w:rsidR="00A325CD" w:rsidRPr="00DA4198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Provide confidence &amp; boost self-esteem of pupils to support progress &amp; attainment.</w:t>
            </w:r>
          </w:p>
          <w:p w:rsidR="00A325CD" w:rsidRDefault="00A325CD" w:rsidP="00A325CD">
            <w:pPr>
              <w:ind w:left="391"/>
            </w:pPr>
          </w:p>
        </w:tc>
        <w:tc>
          <w:tcPr>
            <w:tcW w:w="5812" w:type="dxa"/>
          </w:tcPr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  <w:b/>
              </w:rPr>
            </w:pPr>
            <w:r w:rsidRPr="00AF7D35">
              <w:rPr>
                <w:rFonts w:cs="Arial"/>
                <w:b/>
              </w:rPr>
              <w:lastRenderedPageBreak/>
              <w:t>Carefully plan for &amp; deploy additional teaching support in key year groups, supporting PP pupils.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  <w:b/>
              </w:rPr>
            </w:pPr>
            <w:r w:rsidRPr="00AF7D35">
              <w:rPr>
                <w:rFonts w:cs="Arial"/>
                <w:b/>
              </w:rPr>
              <w:t>Small group sessions with targeted intervention planned for &amp; evaluated by SLT/</w:t>
            </w:r>
            <w:proofErr w:type="spellStart"/>
            <w:r w:rsidRPr="00AF7D35">
              <w:rPr>
                <w:rFonts w:cs="Arial"/>
                <w:b/>
              </w:rPr>
              <w:t>classteachers</w:t>
            </w:r>
            <w:proofErr w:type="spellEnd"/>
            <w:r w:rsidRPr="00AF7D35">
              <w:rPr>
                <w:rFonts w:cs="Arial"/>
                <w:b/>
              </w:rPr>
              <w:t xml:space="preserve"> carefully monitoring of the impact of this.</w:t>
            </w:r>
          </w:p>
          <w:p w:rsidR="00A325CD" w:rsidRPr="00AF7D35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  <w:b/>
              </w:rPr>
            </w:pPr>
            <w:r w:rsidRPr="00AF7D35">
              <w:rPr>
                <w:rFonts w:cs="Arial"/>
                <w:b/>
              </w:rPr>
              <w:t>1:1 tuition &amp; booster sessions in the afternoon provided.</w:t>
            </w:r>
          </w:p>
          <w:p w:rsidR="00A325CD" w:rsidRPr="00AF7D35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AF7D35">
              <w:rPr>
                <w:rFonts w:cs="Arial"/>
                <w:b/>
              </w:rPr>
              <w:t>Pupil Progress meetings track the impact of this</w:t>
            </w:r>
          </w:p>
          <w:p w:rsidR="00A325CD" w:rsidRDefault="00A325CD" w:rsidP="00A325CD">
            <w:pPr>
              <w:ind w:left="391"/>
            </w:pPr>
          </w:p>
        </w:tc>
      </w:tr>
      <w:tr w:rsidR="00A325CD" w:rsidRPr="00C8656C" w:rsidTr="00A325CD">
        <w:tc>
          <w:tcPr>
            <w:tcW w:w="2376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lastRenderedPageBreak/>
              <w:t>Area of spend</w:t>
            </w:r>
          </w:p>
        </w:tc>
        <w:tc>
          <w:tcPr>
            <w:tcW w:w="708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A325CD">
        <w:tc>
          <w:tcPr>
            <w:tcW w:w="2376" w:type="dxa"/>
          </w:tcPr>
          <w:p w:rsidR="00A325CD" w:rsidRDefault="00A325CD" w:rsidP="00A325CD">
            <w:r>
              <w:t>Educational Visits</w:t>
            </w:r>
          </w:p>
          <w:p w:rsidR="00A325CD" w:rsidRDefault="00A325CD" w:rsidP="00A325CD">
            <w:r>
              <w:t>Residential Trips- with children visiting Hinning House – Lake District Outdoor Residential</w:t>
            </w:r>
          </w:p>
        </w:tc>
        <w:tc>
          <w:tcPr>
            <w:tcW w:w="7088" w:type="dxa"/>
          </w:tcPr>
          <w:p w:rsidR="00A325CD" w:rsidRPr="00647E00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647E00">
              <w:t>Pupils are able to participate fully in</w:t>
            </w:r>
            <w:r>
              <w:t xml:space="preserve"> residential trips at the end of Y6 &amp; all</w:t>
            </w:r>
            <w:r w:rsidRPr="00647E00">
              <w:t xml:space="preserve"> school trips and residential trips </w:t>
            </w:r>
          </w:p>
          <w:p w:rsidR="00A325CD" w:rsidRPr="00647E00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647E00">
              <w:t xml:space="preserve">Learning is supported by trips that are carefully planned to </w:t>
            </w:r>
            <w:r>
              <w:t xml:space="preserve">widen life-experiences of all pupils &amp; </w:t>
            </w:r>
            <w:r w:rsidRPr="00647E00">
              <w:t xml:space="preserve">enhance the school’s curriculum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647E00">
              <w:t xml:space="preserve">Social skills, independence, perseverance and team-work are developed through participation in the </w:t>
            </w:r>
            <w:r>
              <w:t>Outdoor Re</w:t>
            </w:r>
            <w:r w:rsidRPr="00647E00">
              <w:t xml:space="preserve">sidential trip to </w:t>
            </w:r>
            <w:r>
              <w:t>Hinning House.</w:t>
            </w:r>
          </w:p>
          <w:p w:rsidR="00A325CD" w:rsidRDefault="00A325CD" w:rsidP="00A325CD"/>
          <w:p w:rsidR="00A325CD" w:rsidRDefault="00A325CD" w:rsidP="00A325CD"/>
          <w:p w:rsidR="00A325CD" w:rsidRDefault="00A325CD" w:rsidP="00A325CD"/>
        </w:tc>
        <w:tc>
          <w:tcPr>
            <w:tcW w:w="5812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Letters to inform parents that there is no cost for PP pupils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Teachers made aware of equipment available – can approach parents if appropriate to offer help and support in acquiring items for the residential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</w:tr>
      <w:tr w:rsidR="00A325CD" w:rsidRPr="00103E20" w:rsidTr="00A325CD">
        <w:trPr>
          <w:trHeight w:val="272"/>
        </w:trPr>
        <w:tc>
          <w:tcPr>
            <w:tcW w:w="2376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7088" w:type="dxa"/>
            <w:shd w:val="clear" w:color="auto" w:fill="95B3D7" w:themeFill="accent1" w:themeFillTint="99"/>
          </w:tcPr>
          <w:p w:rsidR="00A325CD" w:rsidRPr="00103E20" w:rsidRDefault="00A325CD" w:rsidP="00A325CD">
            <w:pPr>
              <w:rPr>
                <w:b/>
              </w:rPr>
            </w:pPr>
            <w:r w:rsidRPr="00103E20">
              <w:rPr>
                <w:b/>
              </w:rPr>
              <w:t>Intended Outcomes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:rsidR="00A325CD" w:rsidRPr="00103E20" w:rsidRDefault="00A325CD" w:rsidP="00A325CD">
            <w:pPr>
              <w:rPr>
                <w:b/>
              </w:rPr>
            </w:pPr>
            <w:r w:rsidRPr="00103E20">
              <w:rPr>
                <w:b/>
              </w:rPr>
              <w:t>Actions</w:t>
            </w:r>
          </w:p>
        </w:tc>
      </w:tr>
      <w:tr w:rsidR="00A325CD" w:rsidRPr="00103E20" w:rsidTr="00A325CD">
        <w:trPr>
          <w:trHeight w:val="4524"/>
        </w:trPr>
        <w:tc>
          <w:tcPr>
            <w:tcW w:w="2376" w:type="dxa"/>
          </w:tcPr>
          <w:p w:rsidR="00A325CD" w:rsidRDefault="00A325CD" w:rsidP="00A325CD">
            <w:r>
              <w:t>Purchase of Maths and English homework schemes</w:t>
            </w:r>
          </w:p>
          <w:p w:rsidR="0061535B" w:rsidRDefault="0061535B" w:rsidP="00A325CD"/>
        </w:tc>
        <w:tc>
          <w:tcPr>
            <w:tcW w:w="7088" w:type="dxa"/>
          </w:tcPr>
          <w:p w:rsidR="00A325CD" w:rsidRPr="007A4075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Provide opportunities for children to consolidate learning</w:t>
            </w:r>
          </w:p>
          <w:p w:rsidR="00A325CD" w:rsidRPr="007A4075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Improved progress and attainment in maths and English</w:t>
            </w:r>
          </w:p>
          <w:p w:rsidR="00A325CD" w:rsidRPr="007A4075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Encourage children to take responsibility for their own learning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Provide a clear focus for homework tasks for teachers</w:t>
            </w:r>
            <w:r w:rsidR="0061535B">
              <w:t>.</w:t>
            </w:r>
          </w:p>
          <w:p w:rsidR="0061535B" w:rsidRPr="00103E20" w:rsidRDefault="0061535B" w:rsidP="0061535B">
            <w:pPr>
              <w:ind w:left="259"/>
            </w:pPr>
          </w:p>
        </w:tc>
        <w:tc>
          <w:tcPr>
            <w:tcW w:w="5812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Purchase of CGP Schemes for pupils</w:t>
            </w:r>
          </w:p>
          <w:p w:rsidR="00A325CD" w:rsidRPr="00103E20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>Monitor children handing in their homework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 xml:space="preserve">Remove barriers to learning at home by offering homework club to </w:t>
            </w:r>
            <w:r>
              <w:t>all pupils in Y6 &amp; other key identified groups</w:t>
            </w:r>
          </w:p>
          <w:p w:rsidR="00A325CD" w:rsidRPr="00103E20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Hold meeting for Parents &amp; p</w:t>
            </w:r>
            <w:r w:rsidRPr="00103E20">
              <w:t>rovide information about completed homework</w:t>
            </w:r>
            <w:r>
              <w:t xml:space="preserve"> &amp; how support can be provided.</w:t>
            </w:r>
            <w:r w:rsidRPr="00103E20">
              <w:t xml:space="preserve"> </w:t>
            </w:r>
          </w:p>
          <w:p w:rsidR="00A325CD" w:rsidRPr="00103E20" w:rsidRDefault="00A325CD" w:rsidP="00A325CD">
            <w:pPr>
              <w:pStyle w:val="ListParagraph"/>
              <w:ind w:left="401"/>
            </w:pPr>
          </w:p>
          <w:p w:rsidR="00A325CD" w:rsidRPr="00103E20" w:rsidRDefault="00A325CD" w:rsidP="00A325CD">
            <w:pPr>
              <w:pStyle w:val="ListParagraph"/>
              <w:ind w:left="401"/>
            </w:pPr>
          </w:p>
        </w:tc>
      </w:tr>
      <w:tr w:rsidR="00A325CD" w:rsidRPr="00C8656C" w:rsidTr="00A325CD">
        <w:tc>
          <w:tcPr>
            <w:tcW w:w="2376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7088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5812" w:type="dxa"/>
            <w:shd w:val="clear" w:color="auto" w:fill="B8CCE4" w:themeFill="accent1" w:themeFillTint="66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A325CD">
        <w:tc>
          <w:tcPr>
            <w:tcW w:w="2376" w:type="dxa"/>
          </w:tcPr>
          <w:p w:rsidR="00A325CD" w:rsidRDefault="00A325CD" w:rsidP="00A325CD">
            <w:r>
              <w:t>Breakfast Booster Clubs</w:t>
            </w:r>
          </w:p>
          <w:p w:rsidR="00A325CD" w:rsidRDefault="00A325CD" w:rsidP="00A325CD">
            <w:r>
              <w:t>5 mornings per week</w:t>
            </w:r>
          </w:p>
          <w:p w:rsidR="00A325CD" w:rsidRDefault="00A325CD" w:rsidP="00A325CD">
            <w:r>
              <w:t>1 x teacher</w:t>
            </w:r>
          </w:p>
          <w:p w:rsidR="00A325CD" w:rsidRDefault="00A325CD" w:rsidP="00A325CD">
            <w:r>
              <w:t xml:space="preserve">4 x TAs </w:t>
            </w:r>
          </w:p>
        </w:tc>
        <w:tc>
          <w:tcPr>
            <w:tcW w:w="7088" w:type="dxa"/>
          </w:tcPr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To promote good attendance and punctuality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Ensure that children have had breakfast in order for children to be able to concentrate on their learning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Pupils have time to complete homework tasks if unable to do at home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lastRenderedPageBreak/>
              <w:t>Pupils enjoy spending time with peers prior to lessons beginning (helps them become ready for learning)</w:t>
            </w:r>
          </w:p>
        </w:tc>
        <w:tc>
          <w:tcPr>
            <w:tcW w:w="5812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lastRenderedPageBreak/>
              <w:t>Inform parents of PP pupils that breakfast club is available at no cost (encourage pupils to attend)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Liaise with class teachers so TAs aware of homework that requires completion – if appropriate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lastRenderedPageBreak/>
              <w:t xml:space="preserve">Purchase range of games/activities to support 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Support in completion of tasks set and preparation for teaching/consolidation of learning</w:t>
            </w:r>
          </w:p>
          <w:p w:rsidR="0061535B" w:rsidRDefault="0061535B" w:rsidP="0061535B"/>
          <w:p w:rsidR="0061535B" w:rsidRDefault="0061535B" w:rsidP="0061535B"/>
          <w:p w:rsidR="0061535B" w:rsidRDefault="0061535B" w:rsidP="0061535B"/>
        </w:tc>
      </w:tr>
      <w:tr w:rsidR="00A325CD" w:rsidRPr="00C8656C" w:rsidTr="00A325CD">
        <w:tc>
          <w:tcPr>
            <w:tcW w:w="2376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lastRenderedPageBreak/>
              <w:t>Area of spend</w:t>
            </w:r>
          </w:p>
        </w:tc>
        <w:tc>
          <w:tcPr>
            <w:tcW w:w="708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Tr="00A325CD">
        <w:tc>
          <w:tcPr>
            <w:tcW w:w="2376" w:type="dxa"/>
          </w:tcPr>
          <w:p w:rsidR="00A325CD" w:rsidRDefault="00A325CD" w:rsidP="00A325CD">
            <w:r>
              <w:t>SLA for Educational Psychologist</w:t>
            </w:r>
          </w:p>
        </w:tc>
        <w:tc>
          <w:tcPr>
            <w:tcW w:w="7088" w:type="dxa"/>
          </w:tcPr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PP pupils to receive the appropriate support and funding required to identify learning needs &amp; barriers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Assessment of children’s individual learning needs provides specific guidance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Outcomes for PP pupils improve through more personalised teaching and learning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  <w:tc>
          <w:tcPr>
            <w:tcW w:w="5812" w:type="dxa"/>
          </w:tcPr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Liaison between SEND co-ordinator and Ed Psych to ensure that school are meeting the needs of the children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Teachers and SEND co-ordinator regularly review and discuss individual children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Pupil Progress Meetings identify needs of PP pupil, progress being made &amp; next steps</w:t>
            </w:r>
          </w:p>
        </w:tc>
      </w:tr>
      <w:tr w:rsidR="00A325CD" w:rsidRPr="00C8656C" w:rsidTr="00A325CD">
        <w:tc>
          <w:tcPr>
            <w:tcW w:w="2376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7088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:rsidR="00A325CD" w:rsidRPr="00C8656C" w:rsidRDefault="00A325CD" w:rsidP="00A325CD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A325CD" w:rsidRPr="003E2CC4" w:rsidTr="00A325CD">
        <w:tc>
          <w:tcPr>
            <w:tcW w:w="2376" w:type="dxa"/>
          </w:tcPr>
          <w:p w:rsidR="00A325CD" w:rsidRDefault="00A325CD" w:rsidP="00A325CD">
            <w:pPr>
              <w:rPr>
                <w:rFonts w:cs="Arial"/>
              </w:rPr>
            </w:pPr>
            <w:r w:rsidRPr="003E2CC4">
              <w:rPr>
                <w:rFonts w:cs="Arial"/>
              </w:rPr>
              <w:t xml:space="preserve">Additional Specialist Teaching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&amp; Music Support (x</w:t>
            </w:r>
            <w:r>
              <w:rPr>
                <w:rFonts w:cs="Arial"/>
              </w:rPr>
              <w:t>2</w:t>
            </w:r>
            <w:r w:rsidRPr="003E2CC4">
              <w:rPr>
                <w:rFonts w:cs="Arial"/>
              </w:rPr>
              <w:t>)</w:t>
            </w:r>
          </w:p>
          <w:p w:rsidR="00A325CD" w:rsidRDefault="00A325CD" w:rsidP="00A325CD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MfL</w:t>
            </w:r>
            <w:proofErr w:type="spellEnd"/>
            <w:r>
              <w:t xml:space="preserve"> Club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11"/>
              </w:numPr>
            </w:pPr>
            <w:r>
              <w:t>Instrumental Tuition (Guitar/Keyboard)</w:t>
            </w:r>
          </w:p>
        </w:tc>
        <w:tc>
          <w:tcPr>
            <w:tcW w:w="7088" w:type="dxa"/>
          </w:tcPr>
          <w:p w:rsidR="00A325CD" w:rsidRPr="003E2CC4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Music support provided by One Education with Pupil Premium pupils receiving the opportunity to learn/play a musical instrument alongside members of staff &amp; external provider.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Opportunity to take part in school choir &amp; complete activities from this.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Social skills are developed through accessing tuition after-school.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Feeling of self-worth &amp; celebration of talents &amp; achievements.</w:t>
            </w:r>
          </w:p>
          <w:p w:rsidR="00A325CD" w:rsidRPr="003E2CC4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t>Pupils are fully supported by learning resources being made available to them</w:t>
            </w:r>
          </w:p>
          <w:p w:rsidR="00A325CD" w:rsidRPr="003E2CC4" w:rsidRDefault="00A325CD" w:rsidP="00A325CD">
            <w:pPr>
              <w:pStyle w:val="ListParagraph"/>
              <w:numPr>
                <w:ilvl w:val="0"/>
                <w:numId w:val="8"/>
              </w:numPr>
              <w:ind w:left="751"/>
            </w:pPr>
            <w:r w:rsidRPr="003E2CC4">
              <w:rPr>
                <w:rFonts w:cs="Arial"/>
              </w:rPr>
              <w:t xml:space="preserve">Experienced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specialist employed to support curriculum provision &amp; provide French After-school provision for PP Pupils</w:t>
            </w:r>
          </w:p>
        </w:tc>
        <w:tc>
          <w:tcPr>
            <w:tcW w:w="5812" w:type="dxa"/>
          </w:tcPr>
          <w:p w:rsidR="00A325CD" w:rsidRPr="003E2CC4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Audit &amp; purchase of musical instruments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Access for pupils &amp; parents to receive tuition after-school through One Education &amp; Teaching Assistant tutoring</w:t>
            </w:r>
            <w:r>
              <w:rPr>
                <w:rFonts w:cs="Arial"/>
              </w:rPr>
              <w:t>.</w:t>
            </w:r>
          </w:p>
          <w:p w:rsidR="00A325CD" w:rsidRPr="003E2CC4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Analyse &amp; monitor number of pupils accessing the wider opportunities.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 xml:space="preserve">PP Pupils identified to take part in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after-school enrichment sessions/activities</w:t>
            </w:r>
            <w:r>
              <w:rPr>
                <w:rFonts w:cs="Arial"/>
              </w:rPr>
              <w:t xml:space="preserve"> &amp; playing of musical instruments</w:t>
            </w:r>
          </w:p>
          <w:p w:rsidR="00A325CD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Arrange for pupils to share their work with other children, parents &amp; the wider school community.</w:t>
            </w:r>
          </w:p>
          <w:p w:rsidR="00A325CD" w:rsidRPr="003E2CC4" w:rsidRDefault="00A325CD" w:rsidP="00A325C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751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Pupils to take part in festivals &amp; competitions.</w:t>
            </w:r>
          </w:p>
          <w:p w:rsidR="00A325CD" w:rsidRPr="003E2CC4" w:rsidRDefault="00A325CD" w:rsidP="00A325CD">
            <w:pPr>
              <w:ind w:left="391"/>
            </w:pPr>
          </w:p>
        </w:tc>
      </w:tr>
    </w:tbl>
    <w:p w:rsidR="00322162" w:rsidRDefault="00322162" w:rsidP="00F51AFD">
      <w:pPr>
        <w:spacing w:line="240" w:lineRule="auto"/>
        <w:rPr>
          <w:b/>
        </w:rPr>
      </w:pPr>
    </w:p>
    <w:p w:rsidR="00F51AFD" w:rsidRPr="00CC75F0" w:rsidRDefault="00F51AFD" w:rsidP="00CC75F0"/>
    <w:sectPr w:rsidR="00F51AFD" w:rsidRPr="00CC75F0" w:rsidSect="00F51AFD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3F6"/>
    <w:multiLevelType w:val="hybridMultilevel"/>
    <w:tmpl w:val="E05E1CD0"/>
    <w:lvl w:ilvl="0" w:tplc="FCE697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06BBD"/>
    <w:multiLevelType w:val="hybridMultilevel"/>
    <w:tmpl w:val="2424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1E2"/>
    <w:multiLevelType w:val="hybridMultilevel"/>
    <w:tmpl w:val="18EED1C8"/>
    <w:lvl w:ilvl="0" w:tplc="9904AF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49B0"/>
    <w:multiLevelType w:val="hybridMultilevel"/>
    <w:tmpl w:val="14264408"/>
    <w:lvl w:ilvl="0" w:tplc="813A34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734B"/>
    <w:multiLevelType w:val="hybridMultilevel"/>
    <w:tmpl w:val="BC4E7F6C"/>
    <w:lvl w:ilvl="0" w:tplc="813A34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44F8"/>
    <w:multiLevelType w:val="hybridMultilevel"/>
    <w:tmpl w:val="2EB2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626C"/>
    <w:multiLevelType w:val="hybridMultilevel"/>
    <w:tmpl w:val="2A80D94A"/>
    <w:lvl w:ilvl="0" w:tplc="BB46E69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66836"/>
    <w:multiLevelType w:val="hybridMultilevel"/>
    <w:tmpl w:val="43708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53C4D"/>
    <w:multiLevelType w:val="hybridMultilevel"/>
    <w:tmpl w:val="12DA8EE0"/>
    <w:lvl w:ilvl="0" w:tplc="3D3696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555E6"/>
    <w:multiLevelType w:val="hybridMultilevel"/>
    <w:tmpl w:val="3C6C69E8"/>
    <w:lvl w:ilvl="0" w:tplc="87C032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E3B1C"/>
    <w:multiLevelType w:val="multilevel"/>
    <w:tmpl w:val="CAA0D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D6"/>
    <w:rsid w:val="0004061D"/>
    <w:rsid w:val="000D2D04"/>
    <w:rsid w:val="000D578F"/>
    <w:rsid w:val="00134A4F"/>
    <w:rsid w:val="00173AAD"/>
    <w:rsid w:val="001A43F0"/>
    <w:rsid w:val="00200E4F"/>
    <w:rsid w:val="002420E6"/>
    <w:rsid w:val="002754DA"/>
    <w:rsid w:val="002A55E4"/>
    <w:rsid w:val="002D34D6"/>
    <w:rsid w:val="002E3247"/>
    <w:rsid w:val="00312172"/>
    <w:rsid w:val="00322162"/>
    <w:rsid w:val="0033385C"/>
    <w:rsid w:val="0038360E"/>
    <w:rsid w:val="003A3D85"/>
    <w:rsid w:val="003A7186"/>
    <w:rsid w:val="003B10C3"/>
    <w:rsid w:val="003C5F42"/>
    <w:rsid w:val="003D16DC"/>
    <w:rsid w:val="00436992"/>
    <w:rsid w:val="004773B1"/>
    <w:rsid w:val="00487C32"/>
    <w:rsid w:val="004C1A6E"/>
    <w:rsid w:val="004D3FE6"/>
    <w:rsid w:val="005A581E"/>
    <w:rsid w:val="005C2910"/>
    <w:rsid w:val="005C54F8"/>
    <w:rsid w:val="0061535B"/>
    <w:rsid w:val="00621E20"/>
    <w:rsid w:val="006266AB"/>
    <w:rsid w:val="00627A9E"/>
    <w:rsid w:val="006305F9"/>
    <w:rsid w:val="006340A2"/>
    <w:rsid w:val="006E05C9"/>
    <w:rsid w:val="006E1862"/>
    <w:rsid w:val="007138B9"/>
    <w:rsid w:val="00731444"/>
    <w:rsid w:val="0073403F"/>
    <w:rsid w:val="007506D0"/>
    <w:rsid w:val="007C2B22"/>
    <w:rsid w:val="0083492A"/>
    <w:rsid w:val="008C7C37"/>
    <w:rsid w:val="0095795D"/>
    <w:rsid w:val="009A10C9"/>
    <w:rsid w:val="009D65BF"/>
    <w:rsid w:val="009F6E2B"/>
    <w:rsid w:val="00A325CD"/>
    <w:rsid w:val="00A845F6"/>
    <w:rsid w:val="00AB069D"/>
    <w:rsid w:val="00B007AB"/>
    <w:rsid w:val="00B231F3"/>
    <w:rsid w:val="00B4749A"/>
    <w:rsid w:val="00B8783B"/>
    <w:rsid w:val="00B92901"/>
    <w:rsid w:val="00C132EF"/>
    <w:rsid w:val="00C54305"/>
    <w:rsid w:val="00C8106F"/>
    <w:rsid w:val="00C8656C"/>
    <w:rsid w:val="00C962B9"/>
    <w:rsid w:val="00CA0EA4"/>
    <w:rsid w:val="00CC75F0"/>
    <w:rsid w:val="00CD6011"/>
    <w:rsid w:val="00D55D13"/>
    <w:rsid w:val="00D84F8F"/>
    <w:rsid w:val="00DA02B5"/>
    <w:rsid w:val="00DD1C4C"/>
    <w:rsid w:val="00E10FE4"/>
    <w:rsid w:val="00E21630"/>
    <w:rsid w:val="00E36A84"/>
    <w:rsid w:val="00E66EA0"/>
    <w:rsid w:val="00E74131"/>
    <w:rsid w:val="00E903AA"/>
    <w:rsid w:val="00E90D12"/>
    <w:rsid w:val="00ED4454"/>
    <w:rsid w:val="00F04A21"/>
    <w:rsid w:val="00F1594F"/>
    <w:rsid w:val="00F51AFD"/>
    <w:rsid w:val="00FB0326"/>
    <w:rsid w:val="00FB5A6A"/>
    <w:rsid w:val="00FB5E4A"/>
    <w:rsid w:val="00FD3000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A8DE8-3419-4150-9EA0-78A0A0A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3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3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3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Boylan</dc:creator>
  <cp:lastModifiedBy>m.sutton</cp:lastModifiedBy>
  <cp:revision>6</cp:revision>
  <cp:lastPrinted>2017-11-20T11:24:00Z</cp:lastPrinted>
  <dcterms:created xsi:type="dcterms:W3CDTF">2017-10-16T13:28:00Z</dcterms:created>
  <dcterms:modified xsi:type="dcterms:W3CDTF">2017-11-20T11:41:00Z</dcterms:modified>
</cp:coreProperties>
</file>